
<file path=[Content_Types].xml><?xml version="1.0" encoding="utf-8"?>
<Types xmlns="http://schemas.openxmlformats.org/package/2006/content-types">
  <Default Extension="xml" ContentType="application/xml"/>
  <Default Extension="wmf" ContentType="image/x-wmf"/>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072DE2">
      <w:pPr>
        <w:pStyle w:val="8"/>
        <w:spacing w:before="0" w:after="60" w:line="276" w:lineRule="auto"/>
        <w:ind w:left="2550" w:firstLine="282"/>
        <w:jc w:val="both"/>
        <w:rPr>
          <w:rFonts w:hint="default" w:ascii="Arial" w:hAnsi="Arial" w:cs="Arial"/>
          <w:sz w:val="18"/>
          <w:szCs w:val="18"/>
          <w:lang w:val="it-IT"/>
        </w:rPr>
      </w:pPr>
      <w:r>
        <w:rPr>
          <w:rFonts w:ascii="Arial" w:hAnsi="Arial" w:cs="Arial"/>
          <w:sz w:val="18"/>
          <w:szCs w:val="18"/>
        </w:rPr>
        <w:t xml:space="preserve">                                                                                          Matera, 0</w:t>
      </w:r>
      <w:r>
        <w:rPr>
          <w:rFonts w:hint="default" w:ascii="Arial" w:hAnsi="Arial" w:cs="Arial"/>
          <w:sz w:val="18"/>
          <w:szCs w:val="18"/>
          <w:lang w:val="it-IT"/>
        </w:rPr>
        <w:t>4</w:t>
      </w:r>
      <w:r>
        <w:rPr>
          <w:rFonts w:ascii="Arial" w:hAnsi="Arial" w:cs="Arial"/>
          <w:sz w:val="18"/>
          <w:szCs w:val="18"/>
        </w:rPr>
        <w:t>/0</w:t>
      </w:r>
      <w:r>
        <w:rPr>
          <w:rFonts w:hint="default" w:ascii="Arial" w:hAnsi="Arial" w:cs="Arial"/>
          <w:sz w:val="18"/>
          <w:szCs w:val="18"/>
          <w:lang w:val="it-IT"/>
        </w:rPr>
        <w:t>5</w:t>
      </w:r>
      <w:r>
        <w:rPr>
          <w:rFonts w:ascii="Arial" w:hAnsi="Arial" w:cs="Arial"/>
          <w:sz w:val="18"/>
          <w:szCs w:val="18"/>
        </w:rPr>
        <w:t>/202</w:t>
      </w:r>
      <w:r>
        <w:rPr>
          <w:rFonts w:hint="default" w:ascii="Arial" w:hAnsi="Arial" w:cs="Arial"/>
          <w:sz w:val="18"/>
          <w:szCs w:val="18"/>
          <w:lang w:val="it-IT"/>
        </w:rPr>
        <w:t>6</w:t>
      </w:r>
      <w:bookmarkStart w:id="1" w:name="_GoBack"/>
      <w:bookmarkEnd w:id="1"/>
    </w:p>
    <w:p w14:paraId="2D072E23">
      <w:pPr>
        <w:pStyle w:val="8"/>
        <w:spacing w:before="0" w:after="60" w:line="276" w:lineRule="auto"/>
        <w:ind w:left="426"/>
        <w:jc w:val="both"/>
        <w:rPr>
          <w:rFonts w:ascii="Arial" w:hAnsi="Arial" w:cs="Arial"/>
          <w:sz w:val="18"/>
          <w:szCs w:val="18"/>
        </w:rPr>
      </w:pPr>
    </w:p>
    <w:p w14:paraId="1917982F">
      <w:pPr>
        <w:pStyle w:val="8"/>
        <w:spacing w:before="0" w:after="60" w:line="276" w:lineRule="auto"/>
        <w:ind w:left="426"/>
        <w:jc w:val="both"/>
        <w:rPr>
          <w:rFonts w:ascii="Arial" w:hAnsi="Arial" w:cs="Arial"/>
          <w:sz w:val="18"/>
          <w:szCs w:val="18"/>
        </w:rPr>
      </w:pPr>
    </w:p>
    <w:p w14:paraId="3D78155D">
      <w:pPr>
        <w:spacing w:line="237" w:lineRule="auto"/>
        <w:ind w:left="426"/>
        <w:jc w:val="center"/>
        <w:rPr>
          <w:rFonts w:ascii="Arial" w:hAnsi="Arial" w:cs="Arial"/>
          <w:sz w:val="18"/>
          <w:szCs w:val="18"/>
        </w:rPr>
      </w:pPr>
      <w:r>
        <w:rPr>
          <w:rFonts w:ascii="Arial" w:hAnsi="Arial" w:cs="Arial"/>
          <w:b/>
          <w:sz w:val="18"/>
          <w:szCs w:val="18"/>
          <w:u w:val="single" w:color="000000"/>
        </w:rPr>
        <w:t>INFORMATIVA PER IL TRATTAMENTO DEI DATI PERSONALI DEI FORNITORI DI BENI E SERVIZI, OPERATORI ECONOMICI PER APPALTI DI LAVORI</w:t>
      </w:r>
    </w:p>
    <w:p w14:paraId="42D85798">
      <w:pPr>
        <w:spacing w:line="259" w:lineRule="auto"/>
        <w:ind w:left="422"/>
        <w:jc w:val="both"/>
        <w:rPr>
          <w:rFonts w:ascii="Arial" w:hAnsi="Arial" w:cs="Arial"/>
          <w:sz w:val="18"/>
          <w:szCs w:val="18"/>
        </w:rPr>
      </w:pPr>
      <w:r>
        <w:rPr>
          <w:rFonts w:ascii="Arial" w:hAnsi="Arial" w:cs="Arial"/>
          <w:i/>
          <w:sz w:val="18"/>
          <w:szCs w:val="18"/>
        </w:rPr>
        <w:t xml:space="preserve"> </w:t>
      </w:r>
      <w:r>
        <w:rPr>
          <w:rFonts w:ascii="Arial" w:hAnsi="Arial" w:cs="Arial"/>
          <w:b/>
          <w:i/>
          <w:sz w:val="18"/>
          <w:szCs w:val="18"/>
          <w:u w:val="single" w:color="000000"/>
        </w:rPr>
        <w:t>Titolare del trattamento</w:t>
      </w:r>
      <w:r>
        <w:rPr>
          <w:rFonts w:ascii="Arial" w:hAnsi="Arial" w:cs="Arial"/>
          <w:sz w:val="18"/>
          <w:szCs w:val="18"/>
        </w:rPr>
        <w:t xml:space="preserve"> Il titolare del trattamento dati è la scuola stessa che ha personalità giuridica autonoma ed è legalmente rappresentata dal Dirigente Scolastico pro tempore, prof.ssa Maria Rosaria SANTERAMO; il responsabile della protezione dei dati pro tempore è l’ing. Antonio </w:t>
      </w:r>
      <w:r>
        <w:rPr>
          <w:rFonts w:hint="default" w:ascii="Arial" w:hAnsi="Arial" w:cs="Arial"/>
          <w:sz w:val="18"/>
          <w:szCs w:val="18"/>
          <w:lang w:val="it-IT"/>
        </w:rPr>
        <w:t>VARGIU</w:t>
      </w:r>
      <w:r>
        <w:rPr>
          <w:rFonts w:ascii="Arial" w:hAnsi="Arial" w:cs="Arial"/>
          <w:sz w:val="18"/>
          <w:szCs w:val="18"/>
        </w:rPr>
        <w:t>, del quale si riportano di seguito i riferimenti di contatto: email: </w:t>
      </w:r>
      <w:r>
        <w:rPr>
          <w:rFonts w:hint="default" w:ascii="Arial" w:hAnsi="Arial" w:cs="Arial"/>
          <w:sz w:val="18"/>
          <w:szCs w:val="18"/>
          <w:lang w:val="it-IT"/>
        </w:rPr>
        <w:fldChar w:fldCharType="begin"/>
      </w:r>
      <w:r>
        <w:rPr>
          <w:rFonts w:hint="default" w:ascii="Arial" w:hAnsi="Arial" w:cs="Arial"/>
          <w:sz w:val="18"/>
          <w:szCs w:val="18"/>
          <w:lang w:val="it-IT"/>
        </w:rPr>
        <w:instrText xml:space="preserve"> HYPERLINK "mailto:dpo@vargiusucola.it" </w:instrText>
      </w:r>
      <w:r>
        <w:rPr>
          <w:rFonts w:hint="default" w:ascii="Arial" w:hAnsi="Arial" w:cs="Arial"/>
          <w:sz w:val="18"/>
          <w:szCs w:val="18"/>
          <w:lang w:val="it-IT"/>
        </w:rPr>
        <w:fldChar w:fldCharType="separate"/>
      </w:r>
      <w:r>
        <w:rPr>
          <w:rStyle w:val="7"/>
          <w:rFonts w:hint="default" w:ascii="Arial" w:hAnsi="Arial" w:cs="Arial"/>
          <w:sz w:val="18"/>
          <w:szCs w:val="18"/>
          <w:lang w:val="it-IT"/>
        </w:rPr>
        <w:t>dpo@vargiusucola.it</w:t>
      </w:r>
      <w:r>
        <w:rPr>
          <w:rFonts w:hint="default" w:ascii="Arial" w:hAnsi="Arial" w:cs="Arial"/>
          <w:sz w:val="18"/>
          <w:szCs w:val="18"/>
          <w:lang w:val="it-IT"/>
        </w:rPr>
        <w:fldChar w:fldCharType="end"/>
      </w:r>
      <w:r>
        <w:rPr>
          <w:rFonts w:hint="default" w:ascii="Arial" w:hAnsi="Arial" w:cs="Arial"/>
          <w:sz w:val="18"/>
          <w:szCs w:val="18"/>
          <w:lang w:val="it-IT"/>
        </w:rPr>
        <w:t xml:space="preserve"> </w:t>
      </w:r>
      <w:r>
        <w:rPr>
          <w:rFonts w:ascii="Arial" w:hAnsi="Arial" w:cs="Arial"/>
          <w:sz w:val="18"/>
          <w:szCs w:val="18"/>
        </w:rPr>
        <w:t xml:space="preserve"> </w:t>
      </w:r>
      <w:r>
        <w:rPr>
          <w:rFonts w:hint="default" w:ascii="Arial" w:hAnsi="Arial" w:cs="Arial"/>
          <w:sz w:val="18"/>
          <w:szCs w:val="18"/>
          <w:lang w:val="it-IT"/>
        </w:rPr>
        <w:t>-</w:t>
      </w:r>
      <w:r>
        <w:rPr>
          <w:rFonts w:ascii="Arial" w:hAnsi="Arial" w:cs="Arial"/>
          <w:sz w:val="18"/>
          <w:szCs w:val="18"/>
        </w:rPr>
        <w:t xml:space="preserve"> pec: </w:t>
      </w:r>
      <w:r>
        <w:rPr>
          <w:rFonts w:ascii="Arial" w:hAnsi="Arial" w:cs="Arial"/>
          <w:sz w:val="18"/>
          <w:szCs w:val="18"/>
        </w:rPr>
        <w:fldChar w:fldCharType="begin"/>
      </w:r>
      <w:r>
        <w:rPr>
          <w:rFonts w:ascii="Arial" w:hAnsi="Arial" w:cs="Arial"/>
          <w:sz w:val="18"/>
          <w:szCs w:val="18"/>
        </w:rPr>
        <w:instrText xml:space="preserve"> HYPERLINK "mailto:antonio.vargiu@ingpec.eu" </w:instrText>
      </w:r>
      <w:r>
        <w:rPr>
          <w:rFonts w:ascii="Arial" w:hAnsi="Arial" w:cs="Arial"/>
          <w:sz w:val="18"/>
          <w:szCs w:val="18"/>
        </w:rPr>
        <w:fldChar w:fldCharType="separate"/>
      </w:r>
      <w:r>
        <w:rPr>
          <w:rStyle w:val="7"/>
          <w:rFonts w:ascii="Arial" w:hAnsi="Arial" w:cs="Arial"/>
          <w:sz w:val="18"/>
          <w:szCs w:val="18"/>
        </w:rPr>
        <w:t>antonio.</w:t>
      </w:r>
      <w:r>
        <w:rPr>
          <w:rStyle w:val="7"/>
          <w:rFonts w:hint="default" w:ascii="Arial" w:hAnsi="Arial" w:cs="Arial"/>
          <w:sz w:val="18"/>
          <w:szCs w:val="18"/>
          <w:lang w:val="it-IT"/>
        </w:rPr>
        <w:t>vargiu</w:t>
      </w:r>
      <w:r>
        <w:rPr>
          <w:rStyle w:val="7"/>
          <w:rFonts w:ascii="Arial" w:hAnsi="Arial" w:cs="Arial"/>
          <w:sz w:val="18"/>
          <w:szCs w:val="18"/>
        </w:rPr>
        <w:t>@ingpec.eu</w:t>
      </w:r>
      <w:r>
        <w:rPr>
          <w:rFonts w:ascii="Arial" w:hAnsi="Arial" w:cs="Arial"/>
          <w:sz w:val="18"/>
          <w:szCs w:val="18"/>
        </w:rPr>
        <w:fldChar w:fldCharType="end"/>
      </w:r>
      <w:r>
        <w:rPr>
          <w:rFonts w:hint="default" w:ascii="Arial" w:hAnsi="Arial" w:cs="Arial"/>
          <w:sz w:val="18"/>
          <w:szCs w:val="18"/>
          <w:lang w:val="it-IT"/>
        </w:rPr>
        <w:t xml:space="preserve"> </w:t>
      </w:r>
      <w:r>
        <w:rPr>
          <w:rFonts w:ascii="Arial" w:hAnsi="Arial" w:cs="Arial"/>
          <w:sz w:val="18"/>
          <w:szCs w:val="18"/>
        </w:rPr>
        <w:t xml:space="preserve">, a cui ci si può rivolgere per far valere i diritti. Il referente interno, per eventuali reclami e comunicazioni, è il D.S.G.A. presso gli uffici di segreteria (tel 0835/333741 - email: mtpm01000g@istruzione.it). </w:t>
      </w:r>
    </w:p>
    <w:p w14:paraId="00A52EA6">
      <w:pPr>
        <w:ind w:left="417"/>
        <w:jc w:val="both"/>
        <w:rPr>
          <w:rFonts w:ascii="Arial" w:hAnsi="Arial" w:cs="Arial"/>
          <w:sz w:val="18"/>
          <w:szCs w:val="18"/>
        </w:rPr>
      </w:pPr>
      <w:r>
        <w:rPr>
          <w:rFonts w:ascii="Arial" w:hAnsi="Arial" w:cs="Arial"/>
          <w:b/>
          <w:i/>
          <w:sz w:val="18"/>
          <w:szCs w:val="18"/>
          <w:u w:val="single" w:color="000000"/>
        </w:rPr>
        <w:t>Finalità del trattamento:</w:t>
      </w:r>
      <w:r>
        <w:rPr>
          <w:rFonts w:ascii="Arial" w:hAnsi="Arial" w:cs="Arial"/>
          <w:sz w:val="18"/>
          <w:szCs w:val="18"/>
        </w:rPr>
        <w:t xml:space="preserve"> il Titolare tratta i dati personali, identificativi (ad esempio, nome, cognome, ragione sociale, indirizzo, telefono, </w:t>
      </w:r>
      <w:r>
        <w:rPr>
          <w:rFonts w:ascii="Arial" w:hAnsi="Arial" w:cs="Arial"/>
          <w:i/>
          <w:sz w:val="18"/>
          <w:szCs w:val="18"/>
        </w:rPr>
        <w:t>e-mail</w:t>
      </w:r>
      <w:r>
        <w:rPr>
          <w:rFonts w:ascii="Arial" w:hAnsi="Arial" w:cs="Arial"/>
          <w:sz w:val="18"/>
          <w:szCs w:val="18"/>
        </w:rPr>
        <w:t>, riferimenti bancari e di pagamento) – in seguito, “</w:t>
      </w:r>
      <w:r>
        <w:rPr>
          <w:rFonts w:ascii="Arial" w:hAnsi="Arial" w:cs="Arial"/>
          <w:b/>
          <w:sz w:val="18"/>
          <w:szCs w:val="18"/>
        </w:rPr>
        <w:t>dati personali</w:t>
      </w:r>
      <w:r>
        <w:rPr>
          <w:rFonts w:ascii="Arial" w:hAnsi="Arial" w:cs="Arial"/>
          <w:sz w:val="18"/>
          <w:szCs w:val="18"/>
        </w:rPr>
        <w:t>” (o anche “</w:t>
      </w:r>
      <w:r>
        <w:rPr>
          <w:rFonts w:ascii="Arial" w:hAnsi="Arial" w:cs="Arial"/>
          <w:b/>
          <w:sz w:val="18"/>
          <w:szCs w:val="18"/>
        </w:rPr>
        <w:t>dati</w:t>
      </w:r>
      <w:r>
        <w:rPr>
          <w:rFonts w:ascii="Arial" w:hAnsi="Arial" w:cs="Arial"/>
          <w:sz w:val="18"/>
          <w:szCs w:val="18"/>
        </w:rPr>
        <w:t xml:space="preserve">”) da Lei comunicati in occasione della conclusione di contratti per i servizi, fornitura di beni, appalti di lavori del Titolare. Tutti i dati che vengono comunicati dagli interessati, o che l’Istituto Scolastico acquisisce da terzi, saranno utilizzati esclusivamente per la gestione dei rapporti contrattuali e precontrattuali con gli interessati, per espletare la verifica di posizioni giudiziarie, fiscali e di condotta di fornitori ed operatori economici che sono in rapporto con l’Istituto Scolastico, precontrattuale o contrattuale, al fine di svolgere le attività preliminari connesse alle procedure di acquisizione di beni e servizi e di lavori; coordinare e analizzare la redazione della documentazione tecnica, amministrativa e contrattuale; gestire il procedimento e le attività connesse (stipula del contratto, monitoraggio dei tempi del procedimento in affidamento, esecuzione del contratto); eventuale fase contenziosa. Ciò per adempiere ad obblighi delle normative sovranazionali, nazionali, regionali e regolamentari che disciplinano l’attività istituzionale dell’Istituto Scolastico ed eventualmente per salvaguardare i propri legittimi interessi, connessi allo svolgimento dei rapporti. </w:t>
      </w:r>
    </w:p>
    <w:p w14:paraId="5BFB5445">
      <w:pPr>
        <w:ind w:left="417"/>
        <w:jc w:val="both"/>
        <w:rPr>
          <w:rFonts w:ascii="Arial" w:hAnsi="Arial" w:cs="Arial"/>
          <w:sz w:val="18"/>
          <w:szCs w:val="18"/>
        </w:rPr>
      </w:pPr>
      <w:r>
        <w:rPr>
          <w:rFonts w:ascii="Arial" w:hAnsi="Arial" w:cs="Arial"/>
          <w:b/>
          <w:i/>
          <w:sz w:val="18"/>
          <w:szCs w:val="18"/>
          <w:u w:val="single"/>
        </w:rPr>
        <w:t>La base giuridica del trattamento</w:t>
      </w:r>
      <w:r>
        <w:rPr>
          <w:rFonts w:ascii="Arial" w:hAnsi="Arial" w:cs="Arial"/>
          <w:sz w:val="18"/>
          <w:szCs w:val="18"/>
        </w:rPr>
        <w:t>, ex art. 13, paragrafo 1, lett. C) Regolamento UE 2016/679 – “GDPR”:</w:t>
      </w:r>
    </w:p>
    <w:p w14:paraId="53DCBD39">
      <w:pPr>
        <w:ind w:left="417"/>
        <w:jc w:val="both"/>
        <w:rPr>
          <w:rFonts w:ascii="Arial" w:hAnsi="Arial" w:cs="Arial"/>
          <w:sz w:val="18"/>
          <w:szCs w:val="18"/>
        </w:rPr>
      </w:pPr>
      <w:r>
        <w:rPr>
          <w:rFonts w:ascii="Arial" w:hAnsi="Arial" w:cs="Arial"/>
          <w:sz w:val="18"/>
          <w:szCs w:val="18"/>
        </w:rPr>
        <w:t>il trattamento dei dati personali ha come base giuridica prevalente l’adempimento di obblighi derivanti da leggi, regolamenti e/o normative comunitarie e nazionali; non necessita del consenso ma deve essere fornita l’informativa. Il trattamento dei dati personali ha come base giuridica le norme che sovraintendono la gestione delle finalità su esposte, in particolare:</w:t>
      </w:r>
    </w:p>
    <w:p w14:paraId="56541710">
      <w:pPr>
        <w:pStyle w:val="15"/>
        <w:numPr>
          <w:ilvl w:val="0"/>
          <w:numId w:val="1"/>
        </w:numPr>
        <w:ind w:right="0"/>
        <w:rPr>
          <w:rFonts w:ascii="Arial" w:hAnsi="Arial" w:cs="Arial"/>
          <w:sz w:val="18"/>
          <w:szCs w:val="18"/>
        </w:rPr>
      </w:pPr>
      <w:bookmarkStart w:id="0" w:name="inizio"/>
      <w:r>
        <w:rPr>
          <w:rFonts w:ascii="Arial" w:hAnsi="Arial" w:cs="Arial"/>
          <w:sz w:val="18"/>
          <w:szCs w:val="18"/>
        </w:rPr>
        <w:t>Decreto legislativo</w:t>
      </w:r>
      <w:bookmarkEnd w:id="0"/>
      <w:r>
        <w:rPr>
          <w:rFonts w:ascii="Arial" w:hAnsi="Arial" w:cs="Arial"/>
          <w:sz w:val="18"/>
          <w:szCs w:val="18"/>
        </w:rPr>
        <w:t xml:space="preserve"> 14 marzo 2013, n. 33 e s.m.i. - Riordino della disciplina riguardante il diritto di accesso civico e gli obblighi di pubblicità, trasparenza e diffusione di informazioni da parte delle pubbliche amministrazioni -</w:t>
      </w:r>
    </w:p>
    <w:p w14:paraId="7305951B">
      <w:pPr>
        <w:pStyle w:val="15"/>
        <w:numPr>
          <w:ilvl w:val="0"/>
          <w:numId w:val="1"/>
        </w:numPr>
        <w:ind w:right="0"/>
        <w:rPr>
          <w:rFonts w:ascii="Arial" w:hAnsi="Arial" w:cs="Arial"/>
          <w:sz w:val="18"/>
          <w:szCs w:val="18"/>
        </w:rPr>
      </w:pPr>
      <w:r>
        <w:rPr>
          <w:rFonts w:ascii="Arial" w:hAnsi="Arial" w:cs="Arial"/>
          <w:sz w:val="18"/>
          <w:szCs w:val="18"/>
        </w:rPr>
        <w:t>Decreto Legislativo 7 marzo 2005, n. 82 - Codice dell'amministrazione digitale -</w:t>
      </w:r>
    </w:p>
    <w:p w14:paraId="383613E9">
      <w:pPr>
        <w:pStyle w:val="15"/>
        <w:numPr>
          <w:ilvl w:val="0"/>
          <w:numId w:val="1"/>
        </w:numPr>
        <w:ind w:right="0"/>
        <w:rPr>
          <w:rFonts w:ascii="Arial" w:hAnsi="Arial" w:cs="Arial"/>
          <w:sz w:val="18"/>
          <w:szCs w:val="18"/>
        </w:rPr>
      </w:pPr>
      <w:r>
        <w:rPr>
          <w:rFonts w:ascii="Arial" w:hAnsi="Arial" w:cs="Arial"/>
          <w:sz w:val="18"/>
          <w:szCs w:val="18"/>
        </w:rPr>
        <w:t>D. Lgs 30 giugno 2003 n. 196 e s.m.i.  - Codice privacy -</w:t>
      </w:r>
    </w:p>
    <w:p w14:paraId="0DA6A917">
      <w:pPr>
        <w:pStyle w:val="15"/>
        <w:numPr>
          <w:ilvl w:val="0"/>
          <w:numId w:val="1"/>
        </w:numPr>
        <w:ind w:right="0"/>
        <w:rPr>
          <w:rFonts w:ascii="Arial" w:hAnsi="Arial" w:cs="Arial"/>
          <w:sz w:val="18"/>
          <w:szCs w:val="18"/>
        </w:rPr>
      </w:pPr>
      <w:r>
        <w:rPr>
          <w:rFonts w:ascii="Arial" w:hAnsi="Arial" w:cs="Arial"/>
          <w:sz w:val="18"/>
          <w:szCs w:val="18"/>
        </w:rPr>
        <w:t>Decreto Legislativo 30 marzo 2001, n. 165 - Norme generali sull'ordinamento del lavoro alle dipendenze delle amministrazioni pubbliche.</w:t>
      </w:r>
    </w:p>
    <w:p w14:paraId="4DB189DB">
      <w:pPr>
        <w:ind w:left="417"/>
        <w:jc w:val="both"/>
        <w:rPr>
          <w:rFonts w:ascii="Arial" w:hAnsi="Arial" w:cs="Arial"/>
          <w:sz w:val="18"/>
          <w:szCs w:val="18"/>
        </w:rPr>
      </w:pPr>
      <w:r>
        <w:rPr>
          <w:rFonts w:ascii="Arial" w:hAnsi="Arial" w:cs="Arial"/>
          <w:sz w:val="18"/>
          <w:szCs w:val="18"/>
        </w:rPr>
        <w:t xml:space="preserve">I dati personali, quindi, sono trattati senza la necessità di un espresso consenso (ex art. 24 Codice Privacy e art. 6 lett. b) e c) UE GDPR “Liceità del trattamento”): </w:t>
      </w:r>
    </w:p>
    <w:p w14:paraId="2F0280BC">
      <w:pPr>
        <w:spacing w:after="12" w:line="259" w:lineRule="auto"/>
        <w:ind w:left="422"/>
        <w:jc w:val="both"/>
        <w:rPr>
          <w:rFonts w:ascii="Arial" w:hAnsi="Arial" w:cs="Arial"/>
          <w:sz w:val="18"/>
          <w:szCs w:val="18"/>
        </w:rPr>
      </w:pPr>
      <w:r>
        <w:rPr>
          <w:rFonts w:ascii="Arial" w:hAnsi="Arial" w:cs="Arial"/>
          <w:b/>
          <w:i/>
          <w:sz w:val="18"/>
          <w:szCs w:val="18"/>
          <w:u w:val="single" w:color="000000"/>
        </w:rPr>
        <w:t>Modalità di trattamento</w:t>
      </w:r>
      <w:r>
        <w:rPr>
          <w:rFonts w:ascii="Arial" w:hAnsi="Arial" w:cs="Arial"/>
          <w:i/>
          <w:sz w:val="18"/>
          <w:szCs w:val="18"/>
          <w:u w:val="single" w:color="000000"/>
        </w:rPr>
        <w:t>:</w:t>
      </w:r>
      <w:r>
        <w:rPr>
          <w:rFonts w:ascii="Arial" w:hAnsi="Arial" w:cs="Arial"/>
          <w:sz w:val="18"/>
          <w:szCs w:val="18"/>
        </w:rPr>
        <w:t xml:space="preserve"> i dati personali sono trattati in modo lecito, corretto e trasparente nei confronti dell’interessato. Il trattamento dei Suoi dati personali è realizzato per mezzo delle operazioni indicate all’art. 4 Codice Privacy e all’art. 4 n. 2) GDPR e precisamente: raccolta, registrazione, organizzazione, conservazione, consultazione, elaborazione, modificazione, selezione, estrazione, raffronto, utilizzo, interconnessione, blocco, comunicazione, cancellazione e distruzione dei dati. I Suoi dati personali sono sottoposti a trattamento sia cartaceo che elettronico e/o automatizzato. </w:t>
      </w:r>
    </w:p>
    <w:p w14:paraId="0E116E89">
      <w:pPr>
        <w:ind w:left="417"/>
        <w:jc w:val="both"/>
        <w:rPr>
          <w:rFonts w:ascii="Arial" w:hAnsi="Arial" w:cs="Arial"/>
          <w:sz w:val="18"/>
          <w:szCs w:val="18"/>
        </w:rPr>
      </w:pPr>
      <w:r>
        <w:rPr>
          <w:rFonts w:ascii="Arial" w:hAnsi="Arial" w:cs="Arial"/>
          <w:b/>
          <w:i/>
          <w:sz w:val="18"/>
          <w:szCs w:val="18"/>
          <w:u w:val="single"/>
        </w:rPr>
        <w:t>Periodo di conservazione:</w:t>
      </w:r>
      <w:r>
        <w:rPr>
          <w:rFonts w:ascii="Arial" w:hAnsi="Arial" w:cs="Arial"/>
          <w:sz w:val="18"/>
          <w:szCs w:val="18"/>
        </w:rPr>
        <w:t xml:space="preserve"> Il Titolare tratterà i dati personali per il tempo necessario per adempiere alle finalità di cui sopra.  I tempi di conservazione sia cartacei che telematici sono stabiliti dalla normativa di riferimento per le Istituzioni scolastiche in materia archivistica (DPR 445/2000; Decreto Legislativo 22 gennaio 2004 n.42) e specifiche norme di conservazione dei dati  (Codice dell’Amministrazione Digitale, Testo unico delle disposizioni legislative e regolamentari in materia di documentazione amministrativa, Norme in materia di procedimento amministrativo e di diritto di accesso ai documenti amministrativi, Normativa IVA e contabile). I tempi possono essere molto diversi a seconda del tipo di contratto e dell’oggetto del contratto. Il criterio per stabilirli si basa su principi di buon senso e sulle precisazioni dell’Autorità Garante secondo cui i dati possono essere conservati in generale “finché sussista un interesse giustificabile” e cioè finché la loro conservazione risulti necessaria agli scopi per i quali sono stati raccolti e trattati. A titolo esemplificativo ma non esaustivo, nel caso in cui si acquisti un bene con garanzia a vita o un </w:t>
      </w:r>
      <w:r>
        <w:rPr>
          <w:rFonts w:ascii="Arial" w:hAnsi="Arial" w:cs="Arial"/>
          <w:i/>
          <w:sz w:val="18"/>
          <w:szCs w:val="18"/>
        </w:rPr>
        <w:t>software</w:t>
      </w:r>
      <w:r>
        <w:rPr>
          <w:rFonts w:ascii="Arial" w:hAnsi="Arial" w:cs="Arial"/>
          <w:sz w:val="18"/>
          <w:szCs w:val="18"/>
        </w:rPr>
        <w:t xml:space="preserve"> con licenza d’uso illimitata in senso temporale i dati possono essere conservati a tempo indeterminato, comunque fino a che il bene o il software non viene dismesso. Più in generale, i dati dovrebbero essere conservati in linea con quanto previsto dal Codice Civile (art. 2220) e dalla normativa europea e fiscale.  </w:t>
      </w:r>
    </w:p>
    <w:p w14:paraId="4DCA4720">
      <w:pPr>
        <w:spacing w:line="259" w:lineRule="auto"/>
        <w:ind w:left="422"/>
        <w:jc w:val="both"/>
        <w:rPr>
          <w:rFonts w:ascii="Arial" w:hAnsi="Arial" w:cs="Arial"/>
          <w:sz w:val="18"/>
          <w:szCs w:val="18"/>
        </w:rPr>
      </w:pPr>
      <w:r>
        <w:rPr>
          <w:rFonts w:ascii="Arial" w:hAnsi="Arial" w:cs="Arial"/>
          <w:b/>
          <w:i/>
          <w:sz w:val="18"/>
          <w:szCs w:val="18"/>
          <w:u w:val="single" w:color="000000"/>
        </w:rPr>
        <w:t>Legittimi interessi perseguiti</w:t>
      </w:r>
      <w:r>
        <w:rPr>
          <w:rFonts w:ascii="Arial" w:hAnsi="Arial" w:cs="Arial"/>
          <w:i/>
          <w:sz w:val="18"/>
          <w:szCs w:val="18"/>
        </w:rPr>
        <w:t>:</w:t>
      </w:r>
      <w:r>
        <w:rPr>
          <w:rFonts w:ascii="Arial" w:hAnsi="Arial" w:cs="Arial"/>
          <w:sz w:val="18"/>
          <w:szCs w:val="18"/>
        </w:rPr>
        <w:t xml:space="preserve"> i legittimi interessi che possono giustificare il trattamento dei dati personali sono quelli del titolare del trattamento o di terzi relativi alla gestione dei rapporti contrattuali o precontrattuali in ogni fase del rapporto con gli Operatori economici. Qualora dovessero svolgersi trattamenti di dati personali giustificati esclusivamente dal perseguimento di tali legittimi interessi, verrà fornita informativa specifica, nelle modalità più opportune, ai soggetti interessati.</w:t>
      </w:r>
      <w:r>
        <w:rPr>
          <w:rFonts w:ascii="Arial" w:hAnsi="Arial" w:cs="Arial"/>
          <w:b/>
          <w:sz w:val="18"/>
          <w:szCs w:val="18"/>
        </w:rPr>
        <w:t xml:space="preserve"> </w:t>
      </w:r>
    </w:p>
    <w:p w14:paraId="641769CB">
      <w:pPr>
        <w:spacing w:line="259" w:lineRule="auto"/>
        <w:ind w:left="422"/>
        <w:jc w:val="both"/>
        <w:rPr>
          <w:rFonts w:ascii="Arial" w:hAnsi="Arial" w:cs="Arial"/>
          <w:sz w:val="18"/>
          <w:szCs w:val="18"/>
        </w:rPr>
      </w:pPr>
      <w:r>
        <w:rPr>
          <w:rFonts w:ascii="Arial" w:hAnsi="Arial" w:cs="Arial"/>
          <w:b/>
          <w:i/>
          <w:sz w:val="18"/>
          <w:szCs w:val="18"/>
          <w:u w:val="single" w:color="000000"/>
        </w:rPr>
        <w:t>Natura dei dati personali relativi a condanne penali e reati. Quali sono i dati personali</w:t>
      </w:r>
      <w:r>
        <w:rPr>
          <w:rFonts w:ascii="Arial" w:hAnsi="Arial" w:cs="Arial"/>
          <w:b/>
          <w:i/>
          <w:sz w:val="18"/>
          <w:szCs w:val="18"/>
        </w:rPr>
        <w:t xml:space="preserve"> </w:t>
      </w:r>
      <w:r>
        <w:rPr>
          <w:rFonts w:ascii="Arial" w:hAnsi="Arial" w:cs="Arial"/>
          <w:b/>
          <w:i/>
          <w:sz w:val="18"/>
          <w:szCs w:val="18"/>
          <w:u w:val="single" w:color="000000"/>
        </w:rPr>
        <w:t>strettamente necessari per perseguire la finalità descritta</w:t>
      </w:r>
      <w:r>
        <w:rPr>
          <w:rFonts w:ascii="Arial" w:hAnsi="Arial" w:cs="Arial"/>
          <w:sz w:val="18"/>
          <w:szCs w:val="18"/>
        </w:rPr>
        <w:t xml:space="preserve">: tutti i dati possono essere comunicati volontariamente dagli interessati, ovvero, per motivazioni strettamente ed esclusivamente connesse all’adempimento delle normative che disciplinano le attività dell’Istituto Scolastico, possono essere raccolti da fonti pubbliche che forniscono tali informazioni per compito istituzionale. Il trattamento sarà effettuato sia con strumenti manuali e/o informatici e/o telematici, con logiche di organizzazione ed elaborazione strettamente correlate alle finalità stesse e comunque in modo da garantire la sicurezza, l’integrità e la riservatezza dei dati stessi nel rispetto delle misure organizzative, fisiche e logiche previste dalle vigenti disposizioni. I dati detenuti dall’Istituto Scolastico potranno essere conosciuti dal personale interno, limitatamente alle informazioni necessarie per lo svolgimento delle mansioni lavorative di ciascuno, da soggetti pubblici a cui la comunicazione avviene in forza di obblighi normativi, da soggetti terzi (persone fisiche o giuridiche) che svolgono servizi di verifica della conformità normativa dell’Istituto Scolastico, come per esempio: Ispettorato del lavoro, soggetti che svolgono attività di verifica relativamente ai sistemi di gestione certificati applicati dall’Istituto Scolastico, da soggetti a cui la comunicazione è necessaria per la gestione del rapporto contrattuale, a personale informatico (interno od esterno) esclusivamente per ineliminabili necessità tecniche ed in modo limitato a quanto strettamente necessario. In alcun caso l’istituto Scolastico comunica dati a terzi se ciò non è necessario per l’espresso adempimento ad obblighi normativi, per necessità contrattuali o per necessità di gestione. Potrebbe rendersi necessaria la registrazione e/o conservazione di dati personali presenti nella documentazione inerente il </w:t>
      </w:r>
      <w:r>
        <w:rPr>
          <w:rFonts w:ascii="Arial" w:hAnsi="Arial" w:eastAsia="Calibri" w:cs="Arial"/>
          <w:sz w:val="18"/>
          <w:szCs w:val="18"/>
        </w:rPr>
        <w:t xml:space="preserve"> </w:t>
      </w:r>
      <w:r>
        <w:rPr>
          <w:rFonts w:ascii="Arial" w:hAnsi="Arial" w:cs="Arial"/>
          <w:sz w:val="18"/>
          <w:szCs w:val="18"/>
        </w:rPr>
        <w:t>DURC (acquisendo parte dei dati da Inps, Inail, Cassa Edile e Casse Previdenza);</w:t>
      </w:r>
      <w:r>
        <w:rPr>
          <w:rFonts w:ascii="Arial" w:hAnsi="Arial" w:eastAsia="Calibri" w:cs="Arial"/>
          <w:sz w:val="18"/>
          <w:szCs w:val="18"/>
        </w:rPr>
        <w:t xml:space="preserve"> </w:t>
      </w:r>
      <w:r>
        <w:rPr>
          <w:rFonts w:ascii="Arial" w:hAnsi="Arial" w:cs="Arial"/>
          <w:sz w:val="18"/>
          <w:szCs w:val="18"/>
        </w:rPr>
        <w:t xml:space="preserve">Visure camerali (acquisiti da Infocamere); Certificato di Casellari Giudiziale generale, penale o civile, Certificato dell’anagrafe dei carichi pendenti degli illeciti amministrativi dipendenti da reato; Certificato dell’anagrafe delle sanzioni amministrative dipendenti da reato, Certificato </w:t>
      </w:r>
      <w:r>
        <w:rPr>
          <w:rFonts w:ascii="Arial" w:hAnsi="Arial" w:cs="Arial"/>
          <w:i/>
          <w:sz w:val="18"/>
          <w:szCs w:val="18"/>
        </w:rPr>
        <w:t xml:space="preserve">ex </w:t>
      </w:r>
      <w:r>
        <w:rPr>
          <w:rFonts w:ascii="Arial" w:hAnsi="Arial" w:cs="Arial"/>
          <w:sz w:val="18"/>
          <w:szCs w:val="18"/>
        </w:rPr>
        <w:t xml:space="preserve">art. 25 DPR 313/2012 (acquisiti dal Tribunale);  Accertamenti sulla situazione societaria e personale delle controparti, Casellario ANAC, CER, Comunicazioni ed Informative Antimafia, verifica regolarità fiscale (Agenzia delle entrate ed Equitalia per il pregresso); </w:t>
      </w:r>
      <w:r>
        <w:rPr>
          <w:rFonts w:ascii="Arial" w:hAnsi="Arial" w:eastAsia="Calibri" w:cs="Arial"/>
          <w:sz w:val="18"/>
          <w:szCs w:val="18"/>
        </w:rPr>
        <w:t xml:space="preserve"> </w:t>
      </w:r>
      <w:r>
        <w:rPr>
          <w:rFonts w:ascii="Arial" w:hAnsi="Arial" w:cs="Arial"/>
          <w:sz w:val="18"/>
          <w:szCs w:val="18"/>
        </w:rPr>
        <w:t xml:space="preserve">Impiego di lavoratori disabili (Provincia); Accertamento veridicità </w:t>
      </w:r>
      <w:r>
        <w:rPr>
          <w:rFonts w:ascii="Arial" w:hAnsi="Arial" w:cs="Arial"/>
          <w:i/>
          <w:sz w:val="18"/>
          <w:szCs w:val="18"/>
        </w:rPr>
        <w:t>Curricula</w:t>
      </w:r>
      <w:r>
        <w:rPr>
          <w:rFonts w:ascii="Arial" w:hAnsi="Arial" w:cs="Arial"/>
          <w:sz w:val="18"/>
          <w:szCs w:val="18"/>
        </w:rPr>
        <w:t xml:space="preserve"> di lavoro attraverso Centri per l’Impiego, INPS, Università. </w:t>
      </w:r>
    </w:p>
    <w:p w14:paraId="71428269">
      <w:pPr>
        <w:ind w:left="417"/>
        <w:jc w:val="both"/>
        <w:rPr>
          <w:rFonts w:ascii="Arial" w:hAnsi="Arial" w:cs="Arial"/>
          <w:sz w:val="18"/>
          <w:szCs w:val="18"/>
        </w:rPr>
      </w:pPr>
      <w:r>
        <w:rPr>
          <w:rFonts w:ascii="Arial" w:hAnsi="Arial" w:cs="Arial"/>
          <w:b/>
          <w:i/>
          <w:sz w:val="18"/>
          <w:szCs w:val="18"/>
          <w:u w:val="single" w:color="000000"/>
        </w:rPr>
        <w:t>Modalità per fornire l’informativa e, ove necessario, acquisire il consenso:</w:t>
      </w:r>
      <w:r>
        <w:rPr>
          <w:rFonts w:ascii="Arial" w:hAnsi="Arial" w:cs="Arial"/>
          <w:b/>
          <w:sz w:val="18"/>
          <w:szCs w:val="18"/>
        </w:rPr>
        <w:t xml:space="preserve"> </w:t>
      </w:r>
      <w:r>
        <w:rPr>
          <w:rFonts w:ascii="Arial" w:hAnsi="Arial" w:cs="Arial"/>
          <w:sz w:val="18"/>
          <w:szCs w:val="18"/>
        </w:rPr>
        <w:t>l’informativa può essere resa al momento dell’inserimento nell’elenco fornitori, della pubblicazione del bando per la fornitura di beni o servizi od in sede di stipulazione del contratto. Al momento della stipula del contratto potrebbe rendersi necessario consegnare un’ulteriore informativa più specifica in funzione del servizio reso o del bene acquisito o della prestazione e/o opera in materia di lavori. Verrà valutata caso per caso, a seconda delle situazioni, la eventuale nomina e designazione di un responsabile esterno che dovrà garantire e presentare garanzie sufficienti per mettere in atto misure tecniche e organizzative adeguate in modo tale che soddisfi i requisiti di cui all’art. 28 del Reg. U.E. 2016/679 (GDPR) e garantisca la tutela dei diritti dell’interessato.</w:t>
      </w:r>
      <w:r>
        <w:rPr>
          <w:rFonts w:ascii="Arial" w:hAnsi="Arial" w:cs="Arial"/>
          <w:b/>
          <w:sz w:val="18"/>
          <w:szCs w:val="18"/>
        </w:rPr>
        <w:t xml:space="preserve"> </w:t>
      </w:r>
    </w:p>
    <w:p w14:paraId="1F91E50A">
      <w:pPr>
        <w:ind w:left="417"/>
        <w:jc w:val="both"/>
        <w:rPr>
          <w:rFonts w:ascii="Arial" w:hAnsi="Arial" w:cs="Arial"/>
          <w:sz w:val="18"/>
          <w:szCs w:val="18"/>
        </w:rPr>
      </w:pPr>
      <w:r>
        <w:rPr>
          <w:rFonts w:ascii="Arial" w:hAnsi="Arial" w:cs="Arial"/>
          <w:b/>
          <w:i/>
          <w:sz w:val="18"/>
          <w:szCs w:val="18"/>
          <w:u w:val="single" w:color="000000"/>
        </w:rPr>
        <w:t>Processo decisionale automatizzato</w:t>
      </w:r>
      <w:r>
        <w:rPr>
          <w:rFonts w:ascii="Arial" w:hAnsi="Arial" w:cs="Arial"/>
          <w:i/>
          <w:sz w:val="18"/>
          <w:szCs w:val="18"/>
          <w:u w:val="single" w:color="000000"/>
        </w:rPr>
        <w:t>:</w:t>
      </w:r>
      <w:r>
        <w:rPr>
          <w:rFonts w:ascii="Arial" w:hAnsi="Arial" w:cs="Arial"/>
          <w:sz w:val="18"/>
          <w:szCs w:val="18"/>
        </w:rPr>
        <w:t xml:space="preserve"> non esiste alcun processo decisionale automatizzato, compreso la profilazione di cui all’art.22 del GDPR. </w:t>
      </w:r>
    </w:p>
    <w:p w14:paraId="3B0C83E1">
      <w:pPr>
        <w:spacing w:line="259" w:lineRule="auto"/>
        <w:ind w:left="422"/>
        <w:jc w:val="both"/>
        <w:rPr>
          <w:rFonts w:ascii="Arial" w:hAnsi="Arial" w:cs="Arial"/>
          <w:sz w:val="18"/>
          <w:szCs w:val="18"/>
        </w:rPr>
      </w:pPr>
      <w:r>
        <w:rPr>
          <w:rFonts w:ascii="Arial" w:hAnsi="Arial" w:cs="Arial"/>
          <w:b/>
          <w:i/>
          <w:sz w:val="18"/>
          <w:szCs w:val="18"/>
          <w:u w:val="single" w:color="000000"/>
        </w:rPr>
        <w:t xml:space="preserve">Trasferimento dati: </w:t>
      </w:r>
      <w:r>
        <w:rPr>
          <w:rFonts w:ascii="Arial" w:hAnsi="Arial" w:cs="Arial"/>
          <w:sz w:val="18"/>
          <w:szCs w:val="18"/>
        </w:rPr>
        <w:t xml:space="preserve">i dati personali sono conservati su </w:t>
      </w:r>
      <w:r>
        <w:rPr>
          <w:rFonts w:ascii="Arial" w:hAnsi="Arial" w:cs="Arial"/>
          <w:i/>
          <w:sz w:val="18"/>
          <w:szCs w:val="18"/>
        </w:rPr>
        <w:t>server</w:t>
      </w:r>
      <w:r>
        <w:rPr>
          <w:rFonts w:ascii="Arial" w:hAnsi="Arial" w:cs="Arial"/>
          <w:sz w:val="18"/>
          <w:szCs w:val="18"/>
        </w:rPr>
        <w:t xml:space="preserve"> ubicati all’interno dell’Unione Europea. Resta in ogni caso inteso che il Titolare, ove si rendesse necessario, avrà facoltà di spostare i server anche extra-UE. In tal caso, il Titolare assicura sin d’ora che il trasferimento dei dati </w:t>
      </w:r>
      <w:r>
        <w:rPr>
          <w:rFonts w:ascii="Arial" w:hAnsi="Arial" w:cs="Arial"/>
          <w:i/>
          <w:sz w:val="18"/>
          <w:szCs w:val="18"/>
        </w:rPr>
        <w:t>extra</w:t>
      </w:r>
      <w:r>
        <w:rPr>
          <w:rFonts w:ascii="Arial" w:hAnsi="Arial" w:cs="Arial"/>
          <w:sz w:val="18"/>
          <w:szCs w:val="18"/>
        </w:rPr>
        <w:t xml:space="preserve">-UE avverrà in conformità alle disposizioni di legge applicabili, previa stipula delle clausole contrattuali standard previste dalla Commissione Europea. </w:t>
      </w:r>
    </w:p>
    <w:p w14:paraId="6A2C2102">
      <w:pPr>
        <w:ind w:left="417"/>
        <w:jc w:val="both"/>
        <w:rPr>
          <w:rFonts w:ascii="Arial" w:hAnsi="Arial" w:cs="Arial"/>
          <w:sz w:val="18"/>
          <w:szCs w:val="18"/>
        </w:rPr>
      </w:pPr>
      <w:r>
        <w:rPr>
          <w:rFonts w:ascii="Arial" w:hAnsi="Arial" w:cs="Arial"/>
          <w:b/>
          <w:i/>
          <w:sz w:val="18"/>
          <w:szCs w:val="18"/>
          <w:u w:val="single" w:color="000000"/>
        </w:rPr>
        <w:t>Natura del conferimento dei dati e conseguenze del rifiuto di rispondere</w:t>
      </w:r>
      <w:r>
        <w:rPr>
          <w:rFonts w:ascii="Arial" w:hAnsi="Arial" w:cs="Arial"/>
          <w:i/>
          <w:sz w:val="18"/>
          <w:szCs w:val="18"/>
          <w:u w:val="single" w:color="000000"/>
        </w:rPr>
        <w:t>:</w:t>
      </w:r>
      <w:r>
        <w:rPr>
          <w:rFonts w:ascii="Arial" w:hAnsi="Arial" w:cs="Arial"/>
          <w:sz w:val="18"/>
          <w:szCs w:val="18"/>
        </w:rPr>
        <w:t xml:space="preserve"> tutti i dati richiesti all’interessato sono necessari per la gestione del rapporto contrattuale e/o precontrattuale e/o in quanto la loro acquisizione è prevista dalle normative che regolano tale rapporto. Pertanto, la mancata comunicazione dei dati richiesti durante tutto lo svolgimento del rapporto contrattuale e/o precontrattuale potrebbe causare l’impossibilità di costituire il rapporto contrattuale stesso, l’interruzione del rapporto, il risarcimento del danno o lo svolgimento di ulteriori specifici trattamenti giustificati dal legittimo interesse dell’Istituto Scolastico come in precedenza indicato. </w:t>
      </w:r>
    </w:p>
    <w:p w14:paraId="39FB3480">
      <w:pPr>
        <w:ind w:left="417"/>
        <w:jc w:val="both"/>
        <w:rPr>
          <w:rFonts w:ascii="Arial" w:hAnsi="Arial" w:cs="Arial"/>
          <w:sz w:val="18"/>
          <w:szCs w:val="18"/>
        </w:rPr>
      </w:pPr>
      <w:r>
        <w:rPr>
          <w:rFonts w:ascii="Arial" w:hAnsi="Arial" w:cs="Arial"/>
          <w:b/>
          <w:i/>
          <w:sz w:val="18"/>
          <w:szCs w:val="18"/>
          <w:u w:val="single" w:color="000000"/>
        </w:rPr>
        <w:t>Diritti dell’interessato</w:t>
      </w:r>
      <w:r>
        <w:rPr>
          <w:rFonts w:ascii="Arial" w:hAnsi="Arial" w:cs="Arial"/>
          <w:i/>
          <w:sz w:val="18"/>
          <w:szCs w:val="18"/>
          <w:u w:val="single" w:color="000000"/>
        </w:rPr>
        <w:t>:</w:t>
      </w:r>
      <w:r>
        <w:rPr>
          <w:rFonts w:ascii="Arial" w:hAnsi="Arial" w:cs="Arial"/>
          <w:sz w:val="18"/>
          <w:szCs w:val="18"/>
        </w:rPr>
        <w:t xml:space="preserve"> la normativa riconosce importanti diritti a tutti gli interessati. L’Istituto Scolastico è impegnato ad assicurare la facoltà di esercizio di tali diritti nel modo più agevole. Si ricorda che tra i diritti che la norma garantisce vi sono quelli di accesso ai dati personali, di rettifica o cancellazione degli stessi, di richiesta di interruzione del trattamento, la limitazione del trattamento che lo riguarda o di opposizione al loro trattamento, oltre al diritto alla portabilità dei dati. Gli interessati potranno esercitare tali diritti ai relativi contatti dell’Istituto Scolastico sopra riportati. </w:t>
      </w:r>
    </w:p>
    <w:p w14:paraId="7519E61E">
      <w:pPr>
        <w:ind w:left="417"/>
        <w:jc w:val="both"/>
        <w:rPr>
          <w:rFonts w:ascii="Arial" w:hAnsi="Arial" w:cs="Arial"/>
          <w:sz w:val="18"/>
          <w:szCs w:val="18"/>
        </w:rPr>
      </w:pPr>
      <w:r>
        <w:rPr>
          <w:rFonts w:ascii="Arial" w:hAnsi="Arial" w:cs="Arial"/>
          <w:b/>
          <w:i/>
          <w:sz w:val="18"/>
          <w:szCs w:val="18"/>
          <w:u w:val="single" w:color="000000"/>
        </w:rPr>
        <w:t>Facoltà di reclamo:</w:t>
      </w:r>
      <w:r>
        <w:rPr>
          <w:rFonts w:ascii="Arial" w:hAnsi="Arial" w:cs="Arial"/>
          <w:b/>
          <w:sz w:val="18"/>
          <w:szCs w:val="18"/>
        </w:rPr>
        <w:t xml:space="preserve"> </w:t>
      </w:r>
      <w:r>
        <w:rPr>
          <w:rFonts w:ascii="Arial" w:hAnsi="Arial" w:cs="Arial"/>
          <w:sz w:val="18"/>
          <w:szCs w:val="18"/>
        </w:rPr>
        <w:t xml:space="preserve">la normativa stabilisce il diritto per chiunque di presentare reclamo all’Autorità nazionale di controllo che in Italia è costituita dal Garante per la protezione dei dati personali (www.garanteprivacy.it). </w:t>
      </w:r>
    </w:p>
    <w:p w14:paraId="7D9E0202">
      <w:pPr>
        <w:spacing w:line="276" w:lineRule="auto"/>
        <w:jc w:val="right"/>
        <w:rPr>
          <w:rFonts w:ascii="Arial" w:hAnsi="Arial" w:cs="Arial"/>
          <w:iCs/>
          <w:sz w:val="18"/>
          <w:szCs w:val="18"/>
        </w:rPr>
      </w:pPr>
      <w:r>
        <w:rPr>
          <w:rFonts w:ascii="Arial" w:hAnsi="Arial" w:cs="Arial"/>
          <w:iCs/>
          <w:sz w:val="18"/>
          <w:szCs w:val="18"/>
        </w:rPr>
        <w:t>Il Dirigente Scolastico</w:t>
      </w:r>
    </w:p>
    <w:p w14:paraId="31C00355">
      <w:pPr>
        <w:spacing w:line="276" w:lineRule="auto"/>
        <w:jc w:val="right"/>
      </w:pPr>
      <w:r>
        <w:rPr>
          <w:rFonts w:ascii="Arial" w:hAnsi="Arial" w:cs="Arial"/>
          <w:iCs/>
          <w:sz w:val="18"/>
          <w:szCs w:val="18"/>
        </w:rPr>
        <w:t>Prof.ssa Maria Rosaria SANTERAMO</w:t>
      </w:r>
      <w:r>
        <w:t xml:space="preserve">                                        </w:t>
      </w:r>
    </w:p>
    <w:sectPr>
      <w:headerReference r:id="rId3" w:type="default"/>
      <w:footerReference r:id="rId4" w:type="default"/>
      <w:pgSz w:w="11906" w:h="16838"/>
      <w:pgMar w:top="426" w:right="1134" w:bottom="709" w:left="1134" w:header="851"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Bookman Old Style">
    <w:panose1 w:val="02050604050505020204"/>
    <w:charset w:val="00"/>
    <w:family w:val="roman"/>
    <w:pitch w:val="default"/>
    <w:sig w:usb0="00000287" w:usb1="00000000" w:usb2="00000000" w:usb3="00000000" w:csb0="2000009F" w:csb1="DFD70000"/>
  </w:font>
  <w:font w:name="Century Gothic">
    <w:panose1 w:val="020B0502020202020204"/>
    <w:charset w:val="00"/>
    <w:family w:val="swiss"/>
    <w:pitch w:val="default"/>
    <w:sig w:usb0="00000287" w:usb1="00000000" w:usb2="00000000" w:usb3="00000000" w:csb0="2000009F" w:csb1="DFD70000"/>
  </w:font>
  <w:font w:name="Adobe Myungjo Std M">
    <w:altName w:val="Yu Gothic"/>
    <w:panose1 w:val="00000000000000000000"/>
    <w:charset w:val="80"/>
    <w:family w:val="roman"/>
    <w:pitch w:val="default"/>
    <w:sig w:usb0="00000000" w:usb1="00000000" w:usb2="00000010" w:usb3="00000000" w:csb0="002A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EE2739">
    <w:pPr>
      <w:pStyle w:val="5"/>
      <w:rPr>
        <w:sz w:val="16"/>
        <w:szCs w:val="16"/>
      </w:rPr>
    </w:pPr>
    <w:r>
      <w:rPr>
        <w:sz w:val="16"/>
        <w:szCs w:val="16"/>
      </w:rPr>
      <w:t xml:space="preserve">Informativa fornitori – Rev 03                                                                                                                                                                                                 Pag. </w:t>
    </w:r>
    <w:r>
      <w:rPr>
        <w:b/>
        <w:bCs/>
        <w:sz w:val="16"/>
        <w:szCs w:val="16"/>
      </w:rPr>
      <w:fldChar w:fldCharType="begin"/>
    </w:r>
    <w:r>
      <w:rPr>
        <w:b/>
        <w:bCs/>
        <w:sz w:val="16"/>
        <w:szCs w:val="16"/>
      </w:rPr>
      <w:instrText xml:space="preserve">PAGE  \* Arabic  \* MERGEFORMAT</w:instrText>
    </w:r>
    <w:r>
      <w:rPr>
        <w:b/>
        <w:bCs/>
        <w:sz w:val="16"/>
        <w:szCs w:val="16"/>
      </w:rPr>
      <w:fldChar w:fldCharType="separate"/>
    </w:r>
    <w:r>
      <w:rPr>
        <w:b/>
        <w:bCs/>
        <w:sz w:val="16"/>
        <w:szCs w:val="16"/>
      </w:rPr>
      <w:t>1</w:t>
    </w:r>
    <w:r>
      <w:rPr>
        <w:b/>
        <w:bCs/>
        <w:sz w:val="16"/>
        <w:szCs w:val="16"/>
      </w:rPr>
      <w:fldChar w:fldCharType="end"/>
    </w:r>
    <w:r>
      <w:rPr>
        <w:sz w:val="16"/>
        <w:szCs w:val="16"/>
      </w:rPr>
      <w:t xml:space="preserve"> di </w:t>
    </w:r>
    <w:r>
      <w:rPr>
        <w:b/>
        <w:bCs/>
        <w:sz w:val="16"/>
        <w:szCs w:val="16"/>
      </w:rPr>
      <w:fldChar w:fldCharType="begin"/>
    </w:r>
    <w:r>
      <w:rPr>
        <w:b/>
        <w:bCs/>
        <w:sz w:val="16"/>
        <w:szCs w:val="16"/>
      </w:rPr>
      <w:instrText xml:space="preserve">NUMPAGES  \* Arabic  \* MERGEFORMAT</w:instrText>
    </w:r>
    <w:r>
      <w:rPr>
        <w:b/>
        <w:bCs/>
        <w:sz w:val="16"/>
        <w:szCs w:val="16"/>
      </w:rPr>
      <w:fldChar w:fldCharType="separate"/>
    </w:r>
    <w:r>
      <w:rPr>
        <w:b/>
        <w:bCs/>
        <w:sz w:val="16"/>
        <w:szCs w:val="16"/>
      </w:rPr>
      <w:t>2</w:t>
    </w:r>
    <w:r>
      <w:rPr>
        <w:b/>
        <w:bCs/>
        <w:sz w:val="16"/>
        <w:szCs w:val="16"/>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3C41D">
    <w:pPr>
      <w:ind w:firstLine="426"/>
      <w:rPr>
        <w:sz w:val="24"/>
        <w:szCs w:val="24"/>
      </w:rPr>
    </w:pPr>
    <w:r>
      <w:rPr>
        <w:rFonts w:ascii="Bookman Old Style" w:hAnsi="Bookman Old Style" w:cs="Bookman Old Style"/>
        <w:sz w:val="28"/>
        <w:szCs w:val="28"/>
        <w:lang w:eastAsia="it-IT"/>
      </w:rPr>
      <w:drawing>
        <wp:inline distT="0" distB="0" distL="0" distR="0">
          <wp:extent cx="989330" cy="723265"/>
          <wp:effectExtent l="0" t="0" r="1270" b="635"/>
          <wp:docPr id="1344521148" name="Immagine 134452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521148" name="Immagine 134452114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8373" cy="729845"/>
                  </a:xfrm>
                  <a:prstGeom prst="rect">
                    <a:avLst/>
                  </a:prstGeom>
                </pic:spPr>
              </pic:pic>
            </a:graphicData>
          </a:graphic>
        </wp:inline>
      </w:drawing>
    </w:r>
    <w:r>
      <w:rPr>
        <w:rFonts w:ascii="Bookman Old Style" w:hAnsi="Bookman Old Style" w:cs="Bookman Old Style"/>
        <w:sz w:val="28"/>
        <w:szCs w:val="28"/>
        <w:lang w:eastAsia="it-IT"/>
      </w:rPr>
      <w:t xml:space="preserve">                         </w:t>
    </w:r>
    <w:r>
      <w:rPr>
        <w:rFonts w:ascii="Bookman Old Style" w:hAnsi="Bookman Old Style" w:cs="Bookman Old Style"/>
        <w:sz w:val="28"/>
        <w:szCs w:val="28"/>
        <w:lang w:eastAsia="it-IT"/>
      </w:rPr>
      <w:tab/>
    </w:r>
    <w:r>
      <w:rPr>
        <w:rFonts w:ascii="Bookman Old Style" w:hAnsi="Bookman Old Style" w:cs="Bookman Old Style"/>
        <w:sz w:val="28"/>
        <w:szCs w:val="28"/>
        <w:lang w:eastAsia="it-IT"/>
      </w:rPr>
      <w:drawing>
        <wp:inline distT="0" distB="0" distL="0" distR="0">
          <wp:extent cx="572770" cy="575945"/>
          <wp:effectExtent l="0" t="0" r="0" b="0"/>
          <wp:docPr id="1052835757" name="Immagine 1052835757" descr="C:\Users\Utente\Desktop\IMMAGINI SFIZIOSE\loghi e stemmi\repubbli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35757" name="Immagine 1052835757" descr="C:\Users\Utente\Desktop\IMMAGINI SFIZIOSE\loghi e stemmi\repubblica.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a:xfrm>
                    <a:off x="0" y="0"/>
                    <a:ext cx="576576" cy="579600"/>
                  </a:xfrm>
                  <a:prstGeom prst="rect">
                    <a:avLst/>
                  </a:prstGeom>
                  <a:noFill/>
                  <a:ln>
                    <a:noFill/>
                  </a:ln>
                </pic:spPr>
              </pic:pic>
            </a:graphicData>
          </a:graphic>
        </wp:inline>
      </w:drawing>
    </w:r>
    <w:r>
      <w:rPr>
        <w:rFonts w:ascii="Bookman Old Style" w:hAnsi="Bookman Old Style" w:cs="Bookman Old Style"/>
        <w:sz w:val="28"/>
        <w:szCs w:val="28"/>
        <w:lang w:eastAsia="it-IT"/>
      </w:rPr>
      <w:tab/>
    </w:r>
    <w:r>
      <w:rPr>
        <w:rFonts w:ascii="Bookman Old Style" w:hAnsi="Bookman Old Style" w:cs="Bookman Old Style"/>
        <w:sz w:val="28"/>
        <w:szCs w:val="28"/>
        <w:lang w:eastAsia="it-IT"/>
      </w:rPr>
      <w:tab/>
    </w:r>
    <w:r>
      <w:rPr>
        <w:rFonts w:ascii="Bookman Old Style" w:hAnsi="Bookman Old Style" w:cs="Bookman Old Style"/>
        <w:sz w:val="28"/>
        <w:szCs w:val="28"/>
        <w:lang w:eastAsia="it-IT"/>
      </w:rPr>
      <w:t xml:space="preserve">            </w:t>
    </w:r>
    <w:r>
      <w:rPr>
        <w:rFonts w:ascii="Courier New" w:hAnsi="Courier New"/>
        <w:b/>
        <w:lang w:eastAsia="it-IT"/>
      </w:rPr>
      <w:drawing>
        <wp:inline distT="0" distB="0" distL="0" distR="0">
          <wp:extent cx="1098550" cy="614045"/>
          <wp:effectExtent l="0" t="0" r="6350" b="0"/>
          <wp:docPr id="451580587" name="Immagine 451580587" descr="Unione Europ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580587" name="Immagine 451580587" descr="Unione Europea"/>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a:xfrm>
                    <a:off x="0" y="0"/>
                    <a:ext cx="1097099" cy="613285"/>
                  </a:xfrm>
                  <a:prstGeom prst="rect">
                    <a:avLst/>
                  </a:prstGeom>
                  <a:noFill/>
                  <a:ln>
                    <a:noFill/>
                  </a:ln>
                </pic:spPr>
              </pic:pic>
            </a:graphicData>
          </a:graphic>
        </wp:inline>
      </w:drawing>
    </w:r>
  </w:p>
  <w:p w14:paraId="07676F12">
    <w:pPr>
      <w:rPr>
        <w:rFonts w:ascii="Century Gothic" w:hAnsi="Century Gothic" w:eastAsia="Adobe Myungjo Std M"/>
        <w:b/>
        <w:sz w:val="20"/>
        <w:szCs w:val="20"/>
      </w:rPr>
    </w:pPr>
  </w:p>
  <w:p w14:paraId="261CB38C">
    <w:pPr>
      <w:jc w:val="center"/>
      <w:rPr>
        <w:rFonts w:ascii="Century Gothic" w:hAnsi="Century Gothic" w:eastAsia="Adobe Myungjo Std M"/>
        <w:b/>
        <w:sz w:val="24"/>
        <w:szCs w:val="24"/>
      </w:rPr>
    </w:pPr>
    <w:r>
      <w:rPr>
        <w:rFonts w:ascii="Century Gothic" w:hAnsi="Century Gothic" w:eastAsia="Adobe Myungjo Std M"/>
        <w:b/>
        <w:sz w:val="24"/>
        <w:szCs w:val="24"/>
      </w:rPr>
      <w:t xml:space="preserve">  LICEO    "T O M M A S O   S T I G L I A N I”</w:t>
    </w:r>
  </w:p>
  <w:p w14:paraId="3620C991">
    <w:pPr>
      <w:jc w:val="center"/>
      <w:rPr>
        <w:rFonts w:ascii="Century Gothic" w:hAnsi="Century Gothic"/>
        <w:b/>
        <w:sz w:val="20"/>
        <w:szCs w:val="20"/>
      </w:rPr>
    </w:pPr>
    <w:r>
      <w:rPr>
        <w:rFonts w:ascii="Century Gothic" w:hAnsi="Century Gothic"/>
        <w:sz w:val="20"/>
        <w:szCs w:val="20"/>
      </w:rPr>
      <w:t xml:space="preserve">indirizzi: </w:t>
    </w:r>
    <w:r>
      <w:rPr>
        <w:rFonts w:ascii="Century Gothic" w:hAnsi="Century Gothic"/>
        <w:b/>
        <w:sz w:val="20"/>
        <w:szCs w:val="20"/>
      </w:rPr>
      <w:t>L I C E O  delle SCIENZE UMANE - LICEO delle SCIENZE UMANE opz. ECONOMICO SOCIALE</w:t>
    </w:r>
  </w:p>
  <w:p w14:paraId="22E19300">
    <w:pPr>
      <w:jc w:val="center"/>
      <w:rPr>
        <w:rFonts w:ascii="Century Gothic" w:hAnsi="Century Gothic"/>
        <w:b/>
        <w:sz w:val="20"/>
        <w:szCs w:val="20"/>
      </w:rPr>
    </w:pPr>
    <w:r>
      <w:rPr>
        <w:rFonts w:ascii="Century Gothic" w:hAnsi="Century Gothic"/>
        <w:b/>
        <w:sz w:val="20"/>
        <w:szCs w:val="20"/>
      </w:rPr>
      <w:t>LICEO LINGUISTICO – LICEO MUSICALE</w:t>
    </w:r>
  </w:p>
  <w:p w14:paraId="42D119E0">
    <w:pPr>
      <w:jc w:val="center"/>
      <w:rPr>
        <w:rFonts w:ascii="Century Gothic" w:hAnsi="Century Gothic"/>
        <w:b/>
        <w:sz w:val="20"/>
        <w:szCs w:val="20"/>
      </w:rPr>
    </w:pPr>
    <w:r>
      <w:rPr>
        <w:rFonts w:ascii="Century Gothic" w:hAnsi="Century Gothic"/>
        <w:b/>
        <w:sz w:val="20"/>
        <w:szCs w:val="20"/>
      </w:rPr>
      <w:sym w:font="Wingdings" w:char="F02A"/>
    </w:r>
    <w:r>
      <w:rPr>
        <w:rFonts w:ascii="Century Gothic" w:hAnsi="Century Gothic"/>
        <w:sz w:val="20"/>
        <w:szCs w:val="20"/>
      </w:rPr>
      <w:t xml:space="preserve"> Via Lanera, 61 - </w:t>
    </w:r>
    <w:r>
      <w:rPr>
        <w:rFonts w:ascii="Century Gothic" w:hAnsi="Century Gothic"/>
        <w:b/>
        <w:sz w:val="20"/>
        <w:szCs w:val="20"/>
      </w:rPr>
      <w:t>75100  MATERA</w:t>
    </w:r>
    <w:r>
      <w:rPr>
        <w:rFonts w:ascii="Century Gothic" w:hAnsi="Century Gothic"/>
        <w:sz w:val="20"/>
        <w:szCs w:val="20"/>
      </w:rPr>
      <w:t xml:space="preserve"> -  Tel. </w:t>
    </w:r>
    <w:r>
      <w:rPr>
        <w:rFonts w:ascii="Wingdings" w:hAnsi="Wingdings"/>
        <w:b/>
        <w:sz w:val="20"/>
        <w:szCs w:val="20"/>
      </w:rPr>
      <w:t></w:t>
    </w:r>
    <w:r>
      <w:rPr>
        <w:rFonts w:ascii="Century Gothic" w:hAnsi="Century Gothic"/>
        <w:sz w:val="20"/>
        <w:szCs w:val="20"/>
      </w:rPr>
      <w:t xml:space="preserve"> e Fax: </w:t>
    </w:r>
    <w:r>
      <w:rPr>
        <w:rFonts w:ascii="Century Gothic" w:hAnsi="Century Gothic"/>
        <w:b/>
        <w:sz w:val="20"/>
        <w:szCs w:val="20"/>
      </w:rPr>
      <w:t>0835-333741</w:t>
    </w:r>
    <w:r>
      <w:rPr>
        <w:rFonts w:ascii="Century Gothic" w:hAnsi="Century Gothic"/>
        <w:sz w:val="20"/>
        <w:szCs w:val="20"/>
      </w:rPr>
      <w:t xml:space="preserve"> - </w:t>
    </w:r>
    <w:r>
      <w:rPr>
        <w:rFonts w:ascii="Century Gothic" w:hAnsi="Century Gothic"/>
        <w:b/>
        <w:sz w:val="20"/>
        <w:szCs w:val="20"/>
      </w:rPr>
      <w:t>C.F.80001060773</w:t>
    </w:r>
  </w:p>
  <w:p w14:paraId="6ADA8D06">
    <w:pPr>
      <w:jc w:val="center"/>
      <w:rPr>
        <w:rStyle w:val="7"/>
        <w:rFonts w:ascii="Century Gothic" w:hAnsi="Century Gothic"/>
        <w:b/>
        <w:sz w:val="16"/>
        <w:szCs w:val="16"/>
      </w:rPr>
    </w:pPr>
    <w:r>
      <w:fldChar w:fldCharType="begin"/>
    </w:r>
    <w:r>
      <w:instrText xml:space="preserve"> HYPERLINK "http://www.liceotommasostigliani.edu.it" </w:instrText>
    </w:r>
    <w:r>
      <w:fldChar w:fldCharType="separate"/>
    </w:r>
    <w:r>
      <w:rPr>
        <w:rStyle w:val="7"/>
        <w:rFonts w:ascii="Century Gothic" w:hAnsi="Century Gothic"/>
        <w:b/>
        <w:sz w:val="16"/>
        <w:szCs w:val="16"/>
      </w:rPr>
      <w:t>www.liceotommasostigliani.edu.it</w:t>
    </w:r>
    <w:r>
      <w:rPr>
        <w:rStyle w:val="7"/>
        <w:rFonts w:ascii="Century Gothic" w:hAnsi="Century Gothic"/>
        <w:b/>
        <w:sz w:val="16"/>
        <w:szCs w:val="16"/>
      </w:rPr>
      <w:fldChar w:fldCharType="end"/>
    </w:r>
    <w:r>
      <w:rPr>
        <w:rStyle w:val="9"/>
        <w:rFonts w:ascii="Century Gothic" w:hAnsi="Century Gothic"/>
        <w:bCs w:val="0"/>
        <w:color w:val="0000FF"/>
        <w:sz w:val="16"/>
        <w:szCs w:val="16"/>
        <w:u w:val="single"/>
      </w:rPr>
      <w:t xml:space="preserve">    -  </w:t>
    </w:r>
    <w:r>
      <w:rPr>
        <w:rFonts w:ascii="Century Gothic" w:hAnsi="Century Gothic"/>
        <w:sz w:val="16"/>
        <w:szCs w:val="16"/>
        <w:u w:val="single"/>
      </w:rPr>
      <w:t xml:space="preserve"> </w:t>
    </w:r>
    <w:r>
      <w:rPr>
        <w:rFonts w:ascii="Century Gothic" w:hAnsi="Century Gothic"/>
        <w:b/>
        <w:color w:val="0000FF"/>
        <w:sz w:val="16"/>
        <w:szCs w:val="16"/>
        <w:u w:val="single"/>
      </w:rPr>
      <w:t>e-mail: mtpm01000g@istruzione.it</w:t>
    </w:r>
    <w:r>
      <w:rPr>
        <w:rFonts w:ascii="Century Gothic" w:hAnsi="Century Gothic"/>
        <w:b/>
        <w:sz w:val="16"/>
        <w:szCs w:val="16"/>
        <w:u w:val="single"/>
      </w:rPr>
      <w:t xml:space="preserve">  </w:t>
    </w:r>
    <w:r>
      <w:fldChar w:fldCharType="begin"/>
    </w:r>
    <w:r>
      <w:instrText xml:space="preserve"> HYPERLINK "mailto:mtpm01000g@pec.istruzione.it" </w:instrText>
    </w:r>
    <w:r>
      <w:fldChar w:fldCharType="separate"/>
    </w:r>
    <w:r>
      <w:rPr>
        <w:rStyle w:val="7"/>
        <w:rFonts w:ascii="Century Gothic" w:hAnsi="Century Gothic"/>
        <w:b/>
        <w:sz w:val="16"/>
        <w:szCs w:val="16"/>
      </w:rPr>
      <w:t>mtpm01000g@pec.istruzione.it</w:t>
    </w:r>
    <w:r>
      <w:rPr>
        <w:rStyle w:val="7"/>
        <w:rFonts w:ascii="Century Gothic" w:hAnsi="Century Gothic"/>
        <w:b/>
        <w:sz w:val="16"/>
        <w:szCs w:val="16"/>
      </w:rPr>
      <w:fldChar w:fldCharType="end"/>
    </w:r>
  </w:p>
  <w:p w14:paraId="5D611989">
    <w:pPr>
      <w:jc w:val="center"/>
      <w:rPr>
        <w:rFonts w:ascii="Century Gothic" w:hAnsi="Century Gothic"/>
        <w:b/>
        <w:color w:val="0000FF"/>
        <w:sz w:val="16"/>
        <w:szCs w:val="16"/>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AF64FF"/>
    <w:multiLevelType w:val="multilevel"/>
    <w:tmpl w:val="0FAF64FF"/>
    <w:lvl w:ilvl="0" w:tentative="0">
      <w:start w:val="1"/>
      <w:numFmt w:val="bullet"/>
      <w:lvlText w:val=""/>
      <w:lvlJc w:val="left"/>
      <w:pPr>
        <w:ind w:left="1127" w:hanging="360"/>
      </w:pPr>
      <w:rPr>
        <w:rFonts w:hint="default" w:ascii="Symbol" w:hAnsi="Symbol"/>
      </w:rPr>
    </w:lvl>
    <w:lvl w:ilvl="1" w:tentative="0">
      <w:start w:val="1"/>
      <w:numFmt w:val="bullet"/>
      <w:lvlText w:val="o"/>
      <w:lvlJc w:val="left"/>
      <w:pPr>
        <w:ind w:left="1847" w:hanging="360"/>
      </w:pPr>
      <w:rPr>
        <w:rFonts w:hint="default" w:ascii="Courier New" w:hAnsi="Courier New" w:cs="Courier New"/>
      </w:rPr>
    </w:lvl>
    <w:lvl w:ilvl="2" w:tentative="0">
      <w:start w:val="1"/>
      <w:numFmt w:val="bullet"/>
      <w:lvlText w:val=""/>
      <w:lvlJc w:val="left"/>
      <w:pPr>
        <w:ind w:left="2567" w:hanging="360"/>
      </w:pPr>
      <w:rPr>
        <w:rFonts w:hint="default" w:ascii="Wingdings" w:hAnsi="Wingdings"/>
      </w:rPr>
    </w:lvl>
    <w:lvl w:ilvl="3" w:tentative="0">
      <w:start w:val="1"/>
      <w:numFmt w:val="bullet"/>
      <w:lvlText w:val=""/>
      <w:lvlJc w:val="left"/>
      <w:pPr>
        <w:ind w:left="3287" w:hanging="360"/>
      </w:pPr>
      <w:rPr>
        <w:rFonts w:hint="default" w:ascii="Symbol" w:hAnsi="Symbol"/>
      </w:rPr>
    </w:lvl>
    <w:lvl w:ilvl="4" w:tentative="0">
      <w:start w:val="1"/>
      <w:numFmt w:val="bullet"/>
      <w:lvlText w:val="o"/>
      <w:lvlJc w:val="left"/>
      <w:pPr>
        <w:ind w:left="4007" w:hanging="360"/>
      </w:pPr>
      <w:rPr>
        <w:rFonts w:hint="default" w:ascii="Courier New" w:hAnsi="Courier New" w:cs="Courier New"/>
      </w:rPr>
    </w:lvl>
    <w:lvl w:ilvl="5" w:tentative="0">
      <w:start w:val="1"/>
      <w:numFmt w:val="bullet"/>
      <w:lvlText w:val=""/>
      <w:lvlJc w:val="left"/>
      <w:pPr>
        <w:ind w:left="4727" w:hanging="360"/>
      </w:pPr>
      <w:rPr>
        <w:rFonts w:hint="default" w:ascii="Wingdings" w:hAnsi="Wingdings"/>
      </w:rPr>
    </w:lvl>
    <w:lvl w:ilvl="6" w:tentative="0">
      <w:start w:val="1"/>
      <w:numFmt w:val="bullet"/>
      <w:lvlText w:val=""/>
      <w:lvlJc w:val="left"/>
      <w:pPr>
        <w:ind w:left="5447" w:hanging="360"/>
      </w:pPr>
      <w:rPr>
        <w:rFonts w:hint="default" w:ascii="Symbol" w:hAnsi="Symbol"/>
      </w:rPr>
    </w:lvl>
    <w:lvl w:ilvl="7" w:tentative="0">
      <w:start w:val="1"/>
      <w:numFmt w:val="bullet"/>
      <w:lvlText w:val="o"/>
      <w:lvlJc w:val="left"/>
      <w:pPr>
        <w:ind w:left="6167" w:hanging="360"/>
      </w:pPr>
      <w:rPr>
        <w:rFonts w:hint="default" w:ascii="Courier New" w:hAnsi="Courier New" w:cs="Courier New"/>
      </w:rPr>
    </w:lvl>
    <w:lvl w:ilvl="8" w:tentative="0">
      <w:start w:val="1"/>
      <w:numFmt w:val="bullet"/>
      <w:lvlText w:val=""/>
      <w:lvlJc w:val="left"/>
      <w:pPr>
        <w:ind w:left="6887"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gutterAtTop/>
  <w:documentProtection w:enforcement="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E9B"/>
    <w:rsid w:val="000826CA"/>
    <w:rsid w:val="00092717"/>
    <w:rsid w:val="000A79A8"/>
    <w:rsid w:val="000F691D"/>
    <w:rsid w:val="00103F5A"/>
    <w:rsid w:val="00126AB8"/>
    <w:rsid w:val="001271F1"/>
    <w:rsid w:val="00137E9B"/>
    <w:rsid w:val="001B358A"/>
    <w:rsid w:val="001C27E4"/>
    <w:rsid w:val="001C7F04"/>
    <w:rsid w:val="001D7B8F"/>
    <w:rsid w:val="001E45BB"/>
    <w:rsid w:val="001F6E1B"/>
    <w:rsid w:val="001F6E4D"/>
    <w:rsid w:val="002079F9"/>
    <w:rsid w:val="00243786"/>
    <w:rsid w:val="00246474"/>
    <w:rsid w:val="00260013"/>
    <w:rsid w:val="002775E4"/>
    <w:rsid w:val="00294FA4"/>
    <w:rsid w:val="002D1F91"/>
    <w:rsid w:val="002D7DFD"/>
    <w:rsid w:val="002E52BE"/>
    <w:rsid w:val="00300393"/>
    <w:rsid w:val="00393BDF"/>
    <w:rsid w:val="004144FE"/>
    <w:rsid w:val="004420F3"/>
    <w:rsid w:val="00446895"/>
    <w:rsid w:val="00462E86"/>
    <w:rsid w:val="00490CA8"/>
    <w:rsid w:val="004A5433"/>
    <w:rsid w:val="004D0324"/>
    <w:rsid w:val="004D68F8"/>
    <w:rsid w:val="004E005A"/>
    <w:rsid w:val="004E5195"/>
    <w:rsid w:val="0051263F"/>
    <w:rsid w:val="005754D4"/>
    <w:rsid w:val="005A1FBA"/>
    <w:rsid w:val="005B2F5C"/>
    <w:rsid w:val="005B3ADE"/>
    <w:rsid w:val="005D68BC"/>
    <w:rsid w:val="005F100A"/>
    <w:rsid w:val="005F4739"/>
    <w:rsid w:val="00627749"/>
    <w:rsid w:val="00640765"/>
    <w:rsid w:val="006702CD"/>
    <w:rsid w:val="0067232A"/>
    <w:rsid w:val="00674779"/>
    <w:rsid w:val="00690958"/>
    <w:rsid w:val="00693E1D"/>
    <w:rsid w:val="006C166B"/>
    <w:rsid w:val="00724C2E"/>
    <w:rsid w:val="007258CF"/>
    <w:rsid w:val="0074232E"/>
    <w:rsid w:val="00744E60"/>
    <w:rsid w:val="00750752"/>
    <w:rsid w:val="00762BDE"/>
    <w:rsid w:val="007925E0"/>
    <w:rsid w:val="007A0809"/>
    <w:rsid w:val="007A4C19"/>
    <w:rsid w:val="0083679A"/>
    <w:rsid w:val="008854C2"/>
    <w:rsid w:val="008D76BC"/>
    <w:rsid w:val="008E4672"/>
    <w:rsid w:val="008F0670"/>
    <w:rsid w:val="008F5BA0"/>
    <w:rsid w:val="00916E7C"/>
    <w:rsid w:val="009242B0"/>
    <w:rsid w:val="00931DE5"/>
    <w:rsid w:val="0096531C"/>
    <w:rsid w:val="0098354C"/>
    <w:rsid w:val="0098551C"/>
    <w:rsid w:val="00990435"/>
    <w:rsid w:val="00997A95"/>
    <w:rsid w:val="009B18BB"/>
    <w:rsid w:val="009B58DE"/>
    <w:rsid w:val="009D09ED"/>
    <w:rsid w:val="009D5F50"/>
    <w:rsid w:val="00A02B90"/>
    <w:rsid w:val="00A03B84"/>
    <w:rsid w:val="00A406CA"/>
    <w:rsid w:val="00A53C42"/>
    <w:rsid w:val="00A5556E"/>
    <w:rsid w:val="00A625C1"/>
    <w:rsid w:val="00AA2B16"/>
    <w:rsid w:val="00AB749B"/>
    <w:rsid w:val="00AD2E6A"/>
    <w:rsid w:val="00AD6D17"/>
    <w:rsid w:val="00AE2233"/>
    <w:rsid w:val="00B0625C"/>
    <w:rsid w:val="00B17A72"/>
    <w:rsid w:val="00B3130A"/>
    <w:rsid w:val="00B363B5"/>
    <w:rsid w:val="00B60CD5"/>
    <w:rsid w:val="00B86D01"/>
    <w:rsid w:val="00B96287"/>
    <w:rsid w:val="00BA40CC"/>
    <w:rsid w:val="00BB37AF"/>
    <w:rsid w:val="00BB5B9B"/>
    <w:rsid w:val="00BD1AAB"/>
    <w:rsid w:val="00BD42A1"/>
    <w:rsid w:val="00BD4B1A"/>
    <w:rsid w:val="00C031FC"/>
    <w:rsid w:val="00C44D4F"/>
    <w:rsid w:val="00C5790B"/>
    <w:rsid w:val="00C8442A"/>
    <w:rsid w:val="00C93EEB"/>
    <w:rsid w:val="00CA311E"/>
    <w:rsid w:val="00CE78DB"/>
    <w:rsid w:val="00D23654"/>
    <w:rsid w:val="00D469A4"/>
    <w:rsid w:val="00D80903"/>
    <w:rsid w:val="00D903AB"/>
    <w:rsid w:val="00DC169A"/>
    <w:rsid w:val="00DD0BE0"/>
    <w:rsid w:val="00DE466A"/>
    <w:rsid w:val="00E017B0"/>
    <w:rsid w:val="00E4564F"/>
    <w:rsid w:val="00E46DFD"/>
    <w:rsid w:val="00E5056C"/>
    <w:rsid w:val="00E60CEB"/>
    <w:rsid w:val="00E763D3"/>
    <w:rsid w:val="00E80D18"/>
    <w:rsid w:val="00E90A9A"/>
    <w:rsid w:val="00EB722A"/>
    <w:rsid w:val="00EE0500"/>
    <w:rsid w:val="00F03F3A"/>
    <w:rsid w:val="00F27075"/>
    <w:rsid w:val="00F52403"/>
    <w:rsid w:val="00F67438"/>
    <w:rsid w:val="00F73350"/>
    <w:rsid w:val="00F9243B"/>
    <w:rsid w:val="00FC01BF"/>
    <w:rsid w:val="00FE024F"/>
    <w:rsid w:val="54A64F15"/>
    <w:rsid w:val="6C8C531E"/>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HAnsi" w:cstheme="minorBidi"/>
      <w:sz w:val="22"/>
      <w:szCs w:val="22"/>
      <w:lang w:val="it-IT"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1"/>
    <w:semiHidden/>
    <w:unhideWhenUsed/>
    <w:qFormat/>
    <w:uiPriority w:val="99"/>
    <w:rPr>
      <w:rFonts w:ascii="Tahoma" w:hAnsi="Tahoma" w:cs="Tahoma"/>
      <w:sz w:val="16"/>
      <w:szCs w:val="16"/>
    </w:rPr>
  </w:style>
  <w:style w:type="paragraph" w:styleId="5">
    <w:name w:val="footer"/>
    <w:basedOn w:val="1"/>
    <w:link w:val="13"/>
    <w:unhideWhenUsed/>
    <w:qFormat/>
    <w:uiPriority w:val="99"/>
    <w:pPr>
      <w:tabs>
        <w:tab w:val="center" w:pos="4819"/>
        <w:tab w:val="right" w:pos="9638"/>
      </w:tabs>
    </w:pPr>
  </w:style>
  <w:style w:type="paragraph" w:styleId="6">
    <w:name w:val="header"/>
    <w:basedOn w:val="1"/>
    <w:link w:val="12"/>
    <w:unhideWhenUsed/>
    <w:qFormat/>
    <w:uiPriority w:val="99"/>
    <w:pPr>
      <w:tabs>
        <w:tab w:val="center" w:pos="4819"/>
        <w:tab w:val="right" w:pos="9638"/>
      </w:tabs>
    </w:pPr>
  </w:style>
  <w:style w:type="character" w:styleId="7">
    <w:name w:val="Hyperlink"/>
    <w:qFormat/>
    <w:uiPriority w:val="0"/>
    <w:rPr>
      <w:color w:val="0000FF"/>
      <w:u w:val="single"/>
    </w:rPr>
  </w:style>
  <w:style w:type="paragraph" w:styleId="8">
    <w:name w:val="Normal (Web)"/>
    <w:basedOn w:val="1"/>
    <w:qFormat/>
    <w:uiPriority w:val="0"/>
    <w:pPr>
      <w:suppressAutoHyphens/>
      <w:spacing w:before="280" w:after="280"/>
    </w:pPr>
    <w:rPr>
      <w:rFonts w:ascii="Times New Roman" w:hAnsi="Times New Roman" w:eastAsia="Times New Roman" w:cs="Times New Roman"/>
      <w:sz w:val="24"/>
      <w:szCs w:val="24"/>
      <w:lang w:eastAsia="ar-SA"/>
    </w:rPr>
  </w:style>
  <w:style w:type="character" w:styleId="9">
    <w:name w:val="Strong"/>
    <w:qFormat/>
    <w:uiPriority w:val="0"/>
    <w:rPr>
      <w:b/>
      <w:bCs/>
    </w:rPr>
  </w:style>
  <w:style w:type="table" w:styleId="10">
    <w:name w:val="Table Grid"/>
    <w:basedOn w:val="3"/>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Testo fumetto Carattere"/>
    <w:basedOn w:val="2"/>
    <w:link w:val="4"/>
    <w:semiHidden/>
    <w:uiPriority w:val="99"/>
    <w:rPr>
      <w:rFonts w:ascii="Tahoma" w:hAnsi="Tahoma" w:cs="Tahoma"/>
      <w:sz w:val="16"/>
      <w:szCs w:val="16"/>
    </w:rPr>
  </w:style>
  <w:style w:type="character" w:customStyle="1" w:styleId="12">
    <w:name w:val="Intestazione Carattere"/>
    <w:basedOn w:val="2"/>
    <w:link w:val="6"/>
    <w:uiPriority w:val="99"/>
  </w:style>
  <w:style w:type="character" w:customStyle="1" w:styleId="13">
    <w:name w:val="Piè di pagina Carattere"/>
    <w:basedOn w:val="2"/>
    <w:link w:val="5"/>
    <w:qFormat/>
    <w:uiPriority w:val="99"/>
  </w:style>
  <w:style w:type="paragraph" w:styleId="14">
    <w:name w:val="No Spacing"/>
    <w:qFormat/>
    <w:uiPriority w:val="1"/>
    <w:rPr>
      <w:rFonts w:ascii="Arial" w:hAnsi="Arial" w:eastAsia="Calibri" w:cs="Times New Roman"/>
      <w:sz w:val="22"/>
      <w:szCs w:val="22"/>
      <w:lang w:val="it-IT" w:eastAsia="en-US" w:bidi="ar-SA"/>
    </w:rPr>
  </w:style>
  <w:style w:type="paragraph" w:styleId="15">
    <w:name w:val="List Paragraph"/>
    <w:basedOn w:val="1"/>
    <w:qFormat/>
    <w:uiPriority w:val="34"/>
    <w:pPr>
      <w:spacing w:after="4" w:line="248" w:lineRule="auto"/>
      <w:ind w:left="720" w:right="412" w:hanging="10"/>
      <w:contextualSpacing/>
      <w:jc w:val="both"/>
    </w:pPr>
    <w:rPr>
      <w:rFonts w:ascii="Times New Roman" w:hAnsi="Times New Roman" w:eastAsia="Times New Roman" w:cs="Times New Roman"/>
      <w:color w:val="000000"/>
      <w:sz w:val="20"/>
      <w:lang w:eastAsia="it-IT"/>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F5AA0F-8242-4F17-A755-600CA6D64CF5}">
  <ds:schemaRefs/>
</ds:datastoreItem>
</file>

<file path=docProps/app.xml><?xml version="1.0" encoding="utf-8"?>
<Properties xmlns="http://schemas.openxmlformats.org/officeDocument/2006/extended-properties" xmlns:vt="http://schemas.openxmlformats.org/officeDocument/2006/docPropsVTypes">
  <Template>Normal</Template>
  <Pages>3</Pages>
  <Words>1787</Words>
  <Characters>10188</Characters>
  <Lines>84</Lines>
  <Paragraphs>23</Paragraphs>
  <TotalTime>1</TotalTime>
  <ScaleCrop>false</ScaleCrop>
  <LinksUpToDate>false</LinksUpToDate>
  <CharactersWithSpaces>11952</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2024-12-19T16:30:00Z</dcterms:created>
  <dc:creator>Lenovo</dc:creator>
  <cp:lastModifiedBy>Maria Rosaria Santeramo</cp:lastModifiedBy>
  <cp:lastPrinted>2023-04-27T06:27:00Z</cp:lastPrinted>
  <dcterms:modified xsi:type="dcterms:W3CDTF">2026-05-04T15:41:23Z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B88A248CD5C3466C989FCF58327D8BC8_12</vt:lpwstr>
  </property>
</Properties>
</file>